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863" w:rsidRPr="002114DE" w:rsidRDefault="00315863" w:rsidP="00315863">
      <w:pPr>
        <w:pStyle w:val="CM4"/>
        <w:framePr w:w="1644" w:wrap="around" w:vAnchor="page" w:hAnchor="page" w:x="9867" w:y="8319"/>
        <w:jc w:val="right"/>
        <w:rPr>
          <w:rFonts w:ascii="Arial" w:hAnsi="Arial" w:cs="Arial"/>
          <w:color w:val="3D7798"/>
          <w:sz w:val="22"/>
          <w:szCs w:val="22"/>
          <w:lang w:val="nb-NO"/>
        </w:rPr>
      </w:pPr>
      <w:bookmarkStart w:id="0" w:name="_GoBack"/>
      <w:bookmarkEnd w:id="0"/>
      <w:r w:rsidRPr="002114DE">
        <w:rPr>
          <w:rFonts w:ascii="Arial" w:hAnsi="Arial" w:cs="Arial"/>
          <w:color w:val="3D7798"/>
          <w:sz w:val="18"/>
          <w:szCs w:val="18"/>
          <w:lang w:val="nb-NO"/>
        </w:rPr>
        <w:t>Besøksadresse</w:t>
      </w:r>
      <w:r w:rsidRPr="002114DE">
        <w:rPr>
          <w:rFonts w:ascii="Arial" w:hAnsi="Arial" w:cs="Arial"/>
          <w:color w:val="3D7798"/>
          <w:sz w:val="22"/>
          <w:szCs w:val="22"/>
          <w:lang w:val="nb-NO"/>
        </w:rPr>
        <w:t xml:space="preserve">: </w:t>
      </w:r>
    </w:p>
    <w:p w:rsidR="00315863" w:rsidRPr="002114DE" w:rsidRDefault="00315863" w:rsidP="00315863">
      <w:pPr>
        <w:rPr>
          <w:rFonts w:ascii="Arial" w:hAnsi="Arial" w:cs="Arial"/>
          <w:sz w:val="22"/>
          <w:szCs w:val="22"/>
          <w:lang w:val="nb-NO"/>
        </w:rPr>
      </w:pPr>
    </w:p>
    <w:p w:rsidR="00B72490" w:rsidRPr="00224909" w:rsidRDefault="00B72490" w:rsidP="00315863">
      <w:pPr>
        <w:rPr>
          <w:rFonts w:ascii="Arial" w:hAnsi="Arial" w:cs="Arial"/>
          <w:sz w:val="22"/>
          <w:szCs w:val="22"/>
          <w:shd w:val="clear" w:color="auto" w:fill="FFFFFF"/>
          <w:lang w:val="nb-NO"/>
        </w:rPr>
      </w:pPr>
    </w:p>
    <w:p w:rsidR="00315863" w:rsidRPr="002114DE" w:rsidRDefault="00054297" w:rsidP="00315863">
      <w:pPr>
        <w:pStyle w:val="CM4"/>
        <w:framePr w:w="1276" w:wrap="around" w:vAnchor="page" w:hAnchor="page" w:x="10230" w:y="8982"/>
        <w:jc w:val="right"/>
        <w:rPr>
          <w:rFonts w:ascii="Arial" w:hAnsi="Arial" w:cs="Arial"/>
          <w:color w:val="3D7798"/>
          <w:sz w:val="18"/>
          <w:szCs w:val="18"/>
          <w:lang w:val="nb-NO"/>
        </w:rPr>
      </w:pPr>
      <w:r>
        <w:rPr>
          <w:rFonts w:ascii="Arial" w:hAnsi="Arial" w:cs="Arial"/>
          <w:color w:val="3D7798"/>
          <w:sz w:val="18"/>
          <w:szCs w:val="18"/>
          <w:lang w:val="nb-NO"/>
        </w:rPr>
        <w:t>Lakkegata</w:t>
      </w:r>
      <w:r w:rsidR="00315863" w:rsidRPr="002114DE">
        <w:rPr>
          <w:rFonts w:ascii="Arial" w:hAnsi="Arial" w:cs="Arial"/>
          <w:color w:val="3D7798"/>
          <w:sz w:val="18"/>
          <w:szCs w:val="18"/>
          <w:lang w:val="nb-NO"/>
        </w:rPr>
        <w:t xml:space="preserve">. </w:t>
      </w:r>
      <w:r>
        <w:rPr>
          <w:rFonts w:ascii="Arial" w:hAnsi="Arial" w:cs="Arial"/>
          <w:color w:val="3D7798"/>
          <w:sz w:val="18"/>
          <w:szCs w:val="18"/>
          <w:lang w:val="nb-NO"/>
        </w:rPr>
        <w:t>23</w:t>
      </w:r>
    </w:p>
    <w:p w:rsidR="00315863" w:rsidRPr="002114DE" w:rsidRDefault="00315863" w:rsidP="00315863">
      <w:pPr>
        <w:pStyle w:val="CM4"/>
        <w:framePr w:w="1497" w:h="6174" w:hRule="exact" w:wrap="around" w:vAnchor="page" w:hAnchor="page" w:x="9986" w:y="9646"/>
        <w:jc w:val="center"/>
        <w:rPr>
          <w:rFonts w:ascii="Arial" w:hAnsi="Arial" w:cs="Arial"/>
          <w:color w:val="3D7798"/>
          <w:sz w:val="22"/>
          <w:szCs w:val="22"/>
          <w:lang w:val="nb-NO"/>
        </w:rPr>
      </w:pPr>
      <w:r w:rsidRPr="002114DE">
        <w:rPr>
          <w:rFonts w:ascii="Arial" w:hAnsi="Arial" w:cs="Arial"/>
          <w:color w:val="3D7798"/>
          <w:sz w:val="22"/>
          <w:szCs w:val="22"/>
          <w:lang w:val="nb-NO"/>
        </w:rPr>
        <w:t xml:space="preserve">       </w:t>
      </w:r>
      <w:r w:rsidRPr="002114DE">
        <w:rPr>
          <w:rFonts w:ascii="Arial" w:hAnsi="Arial" w:cs="Arial"/>
          <w:color w:val="3D7798"/>
          <w:sz w:val="18"/>
          <w:szCs w:val="18"/>
          <w:lang w:val="nb-NO"/>
        </w:rPr>
        <w:t>Postadresse</w:t>
      </w:r>
      <w:r w:rsidRPr="002114DE">
        <w:rPr>
          <w:rFonts w:ascii="Arial" w:hAnsi="Arial" w:cs="Arial"/>
          <w:color w:val="3D7798"/>
          <w:sz w:val="22"/>
          <w:szCs w:val="22"/>
          <w:lang w:val="nb-NO"/>
        </w:rPr>
        <w:t xml:space="preserve">: </w:t>
      </w:r>
    </w:p>
    <w:p w:rsidR="00315863" w:rsidRPr="002114DE" w:rsidRDefault="00315863" w:rsidP="00315863">
      <w:pPr>
        <w:pStyle w:val="CM4"/>
        <w:framePr w:w="1593" w:wrap="around" w:vAnchor="page" w:hAnchor="page" w:x="9867" w:y="10309"/>
        <w:jc w:val="right"/>
        <w:rPr>
          <w:rFonts w:ascii="Arial" w:hAnsi="Arial" w:cs="Arial"/>
          <w:color w:val="3D7798"/>
          <w:sz w:val="18"/>
          <w:szCs w:val="18"/>
          <w:lang w:val="nb-NO"/>
        </w:rPr>
      </w:pPr>
      <w:r w:rsidRPr="002114DE">
        <w:rPr>
          <w:rFonts w:ascii="Arial" w:hAnsi="Arial" w:cs="Arial"/>
          <w:color w:val="3D7798"/>
          <w:sz w:val="18"/>
          <w:szCs w:val="18"/>
          <w:lang w:val="nb-NO"/>
        </w:rPr>
        <w:t xml:space="preserve">Postboks 9232 </w:t>
      </w:r>
    </w:p>
    <w:p w:rsidR="00315863" w:rsidRPr="002114DE" w:rsidRDefault="00315863" w:rsidP="00315863">
      <w:pPr>
        <w:pStyle w:val="CM4"/>
        <w:framePr w:w="1259" w:wrap="around" w:vAnchor="page" w:hAnchor="page" w:x="10230" w:y="10972"/>
        <w:jc w:val="right"/>
        <w:rPr>
          <w:rFonts w:ascii="Arial" w:hAnsi="Arial" w:cs="Arial"/>
          <w:color w:val="3D7798"/>
          <w:sz w:val="18"/>
          <w:szCs w:val="18"/>
          <w:lang w:val="nb-NO"/>
        </w:rPr>
      </w:pPr>
      <w:r w:rsidRPr="002114DE">
        <w:rPr>
          <w:rFonts w:ascii="Arial" w:hAnsi="Arial" w:cs="Arial"/>
          <w:color w:val="3D7798"/>
          <w:sz w:val="18"/>
          <w:szCs w:val="18"/>
          <w:lang w:val="nb-NO"/>
        </w:rPr>
        <w:t xml:space="preserve">Grønland </w:t>
      </w:r>
    </w:p>
    <w:p w:rsidR="00315863" w:rsidRPr="002114DE" w:rsidRDefault="00315863" w:rsidP="00315863">
      <w:pPr>
        <w:pStyle w:val="CM4"/>
        <w:framePr w:w="1321" w:wrap="around" w:vAnchor="page" w:hAnchor="page" w:x="10111" w:y="11636"/>
        <w:jc w:val="right"/>
        <w:rPr>
          <w:rFonts w:ascii="Arial" w:hAnsi="Arial" w:cs="Arial"/>
          <w:color w:val="3D7798"/>
          <w:sz w:val="18"/>
          <w:szCs w:val="18"/>
          <w:lang w:val="nb-NO"/>
        </w:rPr>
      </w:pPr>
      <w:r w:rsidRPr="002114DE">
        <w:rPr>
          <w:rFonts w:ascii="Arial" w:hAnsi="Arial" w:cs="Arial"/>
          <w:color w:val="3D7798"/>
          <w:sz w:val="18"/>
          <w:szCs w:val="18"/>
          <w:lang w:val="nb-NO"/>
        </w:rPr>
        <w:t xml:space="preserve">0134 Oslo </w:t>
      </w:r>
    </w:p>
    <w:p w:rsidR="00315863" w:rsidRPr="002114DE" w:rsidRDefault="00315863" w:rsidP="00315863">
      <w:pPr>
        <w:pStyle w:val="CM4"/>
        <w:framePr w:w="1253" w:wrap="around" w:vAnchor="page" w:hAnchor="page" w:x="10230" w:y="12305"/>
        <w:jc w:val="right"/>
        <w:rPr>
          <w:rFonts w:ascii="Arial" w:hAnsi="Arial" w:cs="Arial"/>
          <w:color w:val="3D7798"/>
          <w:sz w:val="18"/>
          <w:szCs w:val="18"/>
          <w:lang w:val="nb-NO"/>
        </w:rPr>
      </w:pPr>
      <w:r w:rsidRPr="002114DE">
        <w:rPr>
          <w:rFonts w:ascii="Arial" w:hAnsi="Arial" w:cs="Arial"/>
          <w:color w:val="3D7798"/>
          <w:sz w:val="18"/>
          <w:szCs w:val="18"/>
          <w:lang w:val="nb-NO"/>
        </w:rPr>
        <w:t xml:space="preserve">Org. nr.: </w:t>
      </w:r>
    </w:p>
    <w:p w:rsidR="00315863" w:rsidRPr="002114DE" w:rsidRDefault="00315863" w:rsidP="00315863">
      <w:pPr>
        <w:pStyle w:val="CM4"/>
        <w:framePr w:w="1463" w:wrap="around" w:vAnchor="page" w:hAnchor="page" w:x="9986" w:y="12968"/>
        <w:jc w:val="right"/>
        <w:rPr>
          <w:rFonts w:ascii="Arial" w:hAnsi="Arial" w:cs="Arial"/>
          <w:color w:val="3D7798"/>
          <w:sz w:val="18"/>
          <w:szCs w:val="18"/>
          <w:lang w:val="nb-NO"/>
        </w:rPr>
      </w:pPr>
      <w:r w:rsidRPr="002114DE">
        <w:rPr>
          <w:rFonts w:ascii="Arial" w:hAnsi="Arial" w:cs="Arial"/>
          <w:color w:val="3D7798"/>
          <w:sz w:val="18"/>
          <w:szCs w:val="18"/>
          <w:lang w:val="nb-NO"/>
        </w:rPr>
        <w:t xml:space="preserve">971 454 431 </w:t>
      </w:r>
    </w:p>
    <w:p w:rsidR="00315863" w:rsidRPr="002114DE" w:rsidRDefault="00315863" w:rsidP="00315863">
      <w:pPr>
        <w:pStyle w:val="CM4"/>
        <w:framePr w:w="1208" w:wrap="around" w:vAnchor="page" w:hAnchor="page" w:x="10230" w:y="13632"/>
        <w:jc w:val="right"/>
        <w:rPr>
          <w:rFonts w:ascii="Arial" w:hAnsi="Arial" w:cs="Arial"/>
          <w:color w:val="3D7798"/>
          <w:sz w:val="18"/>
          <w:szCs w:val="18"/>
          <w:lang w:val="nb-NO"/>
        </w:rPr>
      </w:pPr>
      <w:r w:rsidRPr="002114DE">
        <w:rPr>
          <w:rFonts w:ascii="Arial" w:hAnsi="Arial" w:cs="Arial"/>
          <w:color w:val="3D7798"/>
          <w:sz w:val="18"/>
          <w:szCs w:val="18"/>
          <w:lang w:val="nb-NO"/>
        </w:rPr>
        <w:t xml:space="preserve">Telefon: </w:t>
      </w:r>
    </w:p>
    <w:p w:rsidR="00315863" w:rsidRPr="002114DE" w:rsidRDefault="00315863" w:rsidP="00315863">
      <w:pPr>
        <w:pStyle w:val="CM4"/>
        <w:framePr w:w="1435" w:wrap="around" w:vAnchor="page" w:hAnchor="page" w:x="9986" w:y="14295"/>
        <w:jc w:val="right"/>
        <w:rPr>
          <w:rFonts w:ascii="Arial" w:hAnsi="Arial" w:cs="Arial"/>
          <w:color w:val="3D7798"/>
          <w:sz w:val="18"/>
          <w:szCs w:val="18"/>
          <w:lang w:val="nb-NO"/>
        </w:rPr>
      </w:pPr>
      <w:r w:rsidRPr="002114DE">
        <w:rPr>
          <w:rFonts w:ascii="Arial" w:hAnsi="Arial" w:cs="Arial"/>
          <w:color w:val="3D7798"/>
          <w:sz w:val="18"/>
          <w:szCs w:val="18"/>
          <w:lang w:val="nb-NO"/>
        </w:rPr>
        <w:t xml:space="preserve">21 01 36 00 </w:t>
      </w:r>
    </w:p>
    <w:p w:rsidR="00315863" w:rsidRPr="002114DE" w:rsidRDefault="00315863" w:rsidP="00315863">
      <w:pPr>
        <w:framePr w:w="1276" w:wrap="around" w:vAnchor="page" w:hAnchor="page" w:x="10230" w:y="14958"/>
        <w:rPr>
          <w:rFonts w:ascii="Arial" w:hAnsi="Arial" w:cs="Arial"/>
          <w:sz w:val="22"/>
          <w:szCs w:val="22"/>
          <w:lang w:val="nb-NO"/>
        </w:rPr>
      </w:pPr>
    </w:p>
    <w:p w:rsidR="00315863" w:rsidRPr="002114DE" w:rsidRDefault="00315863" w:rsidP="00315863">
      <w:pPr>
        <w:pStyle w:val="CM4"/>
        <w:framePr w:w="1276" w:wrap="around" w:vAnchor="page" w:hAnchor="page" w:x="10230" w:y="14958"/>
        <w:jc w:val="right"/>
        <w:rPr>
          <w:rFonts w:ascii="Arial" w:hAnsi="Arial" w:cs="Arial"/>
          <w:color w:val="3D7798"/>
          <w:sz w:val="22"/>
          <w:szCs w:val="22"/>
          <w:lang w:val="nb-NO"/>
        </w:rPr>
      </w:pPr>
      <w:r w:rsidRPr="002114DE">
        <w:rPr>
          <w:rFonts w:ascii="Arial" w:hAnsi="Arial" w:cs="Arial"/>
          <w:color w:val="3D7798"/>
          <w:sz w:val="22"/>
          <w:szCs w:val="22"/>
          <w:lang w:val="nb-NO"/>
        </w:rPr>
        <w:t xml:space="preserve"> </w:t>
      </w:r>
    </w:p>
    <w:p w:rsidR="00315863" w:rsidRPr="002114DE" w:rsidRDefault="00315863" w:rsidP="00315863">
      <w:pPr>
        <w:pStyle w:val="Default"/>
        <w:framePr w:w="1457" w:wrap="around" w:vAnchor="page" w:hAnchor="page" w:x="9969" w:y="15622"/>
        <w:rPr>
          <w:rFonts w:ascii="Arial" w:hAnsi="Arial" w:cs="Arial"/>
          <w:color w:val="3D7798"/>
          <w:sz w:val="22"/>
          <w:szCs w:val="22"/>
          <w:lang w:val="nb-NO"/>
        </w:rPr>
      </w:pPr>
    </w:p>
    <w:p w:rsidR="00315863" w:rsidRPr="002114DE" w:rsidRDefault="00315863" w:rsidP="00315863">
      <w:pPr>
        <w:pStyle w:val="Default"/>
        <w:framePr w:w="1457" w:wrap="around" w:vAnchor="page" w:hAnchor="page" w:x="9969" w:y="15622"/>
        <w:rPr>
          <w:rFonts w:ascii="Arial" w:hAnsi="Arial" w:cs="Arial"/>
          <w:color w:val="3D7798"/>
          <w:sz w:val="18"/>
          <w:szCs w:val="18"/>
          <w:lang w:val="nb-NO"/>
        </w:rPr>
      </w:pPr>
      <w:r w:rsidRPr="007D308B">
        <w:rPr>
          <w:rFonts w:ascii="Arial" w:hAnsi="Arial" w:cs="Arial"/>
          <w:noProof/>
          <w:sz w:val="18"/>
          <w:szCs w:val="18"/>
          <w:lang w:val="nb-NO" w:eastAsia="nb-NO"/>
        </w:rPr>
        <w:drawing>
          <wp:anchor distT="107950" distB="0" distL="114300" distR="114300" simplePos="0" relativeHeight="251659264" behindDoc="0" locked="0" layoutInCell="1" allowOverlap="1" wp14:anchorId="7DA727C5" wp14:editId="10ADAE60">
            <wp:simplePos x="0" y="0"/>
            <wp:positionH relativeFrom="column">
              <wp:posOffset>810895</wp:posOffset>
            </wp:positionH>
            <wp:positionV relativeFrom="paragraph">
              <wp:posOffset>10160</wp:posOffset>
            </wp:positionV>
            <wp:extent cx="114300" cy="114300"/>
            <wp:effectExtent l="0" t="0" r="0" b="0"/>
            <wp:wrapSquare wrapText="bothSides"/>
            <wp:docPr id="3" name="Bilde 3" descr="gr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n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pic:spPr>
                </pic:pic>
              </a:graphicData>
            </a:graphic>
            <wp14:sizeRelH relativeFrom="page">
              <wp14:pctWidth>0</wp14:pctWidth>
            </wp14:sizeRelH>
            <wp14:sizeRelV relativeFrom="page">
              <wp14:pctHeight>0</wp14:pctHeight>
            </wp14:sizeRelV>
          </wp:anchor>
        </w:drawing>
      </w:r>
      <w:r w:rsidRPr="002114DE">
        <w:rPr>
          <w:rFonts w:ascii="Arial" w:hAnsi="Arial" w:cs="Arial"/>
          <w:color w:val="3D7798"/>
          <w:sz w:val="18"/>
          <w:szCs w:val="18"/>
          <w:lang w:val="nb-NO"/>
        </w:rPr>
        <w:t xml:space="preserve">       www.ys.no </w:t>
      </w:r>
    </w:p>
    <w:p w:rsidR="00315863" w:rsidRDefault="00315863" w:rsidP="00315863">
      <w:pPr>
        <w:rPr>
          <w:rFonts w:ascii="Arial" w:hAnsi="Arial" w:cs="Arial"/>
          <w:sz w:val="22"/>
          <w:szCs w:val="22"/>
          <w:lang w:val="nb-NO"/>
        </w:rPr>
      </w:pPr>
    </w:p>
    <w:p w:rsidR="00577C58" w:rsidRDefault="00577C58" w:rsidP="00315863">
      <w:pPr>
        <w:rPr>
          <w:rFonts w:ascii="Arial" w:hAnsi="Arial" w:cs="Arial"/>
          <w:sz w:val="22"/>
          <w:szCs w:val="22"/>
          <w:lang w:val="nb-NO"/>
        </w:rPr>
      </w:pPr>
    </w:p>
    <w:p w:rsidR="00577C58" w:rsidRPr="00F370B7" w:rsidRDefault="00577C58" w:rsidP="00315863">
      <w:pPr>
        <w:rPr>
          <w:rFonts w:ascii="Arial" w:hAnsi="Arial" w:cs="Arial"/>
          <w:sz w:val="22"/>
          <w:szCs w:val="22"/>
          <w:lang w:val="nb-NO"/>
        </w:rPr>
      </w:pPr>
    </w:p>
    <w:p w:rsidR="002F6629" w:rsidRPr="00F370B7" w:rsidRDefault="002F6629" w:rsidP="00315863">
      <w:pPr>
        <w:rPr>
          <w:rFonts w:ascii="Arial" w:hAnsi="Arial" w:cs="Arial"/>
          <w:sz w:val="22"/>
          <w:szCs w:val="22"/>
          <w:lang w:val="nb-NO"/>
        </w:rPr>
      </w:pPr>
    </w:p>
    <w:tbl>
      <w:tblPr>
        <w:tblW w:w="0" w:type="auto"/>
        <w:tblLayout w:type="fixed"/>
        <w:tblCellMar>
          <w:left w:w="70" w:type="dxa"/>
          <w:right w:w="70" w:type="dxa"/>
        </w:tblCellMar>
        <w:tblLook w:val="0000" w:firstRow="0" w:lastRow="0" w:firstColumn="0" w:lastColumn="0" w:noHBand="0" w:noVBand="0"/>
      </w:tblPr>
      <w:tblGrid>
        <w:gridCol w:w="3289"/>
        <w:gridCol w:w="3289"/>
        <w:gridCol w:w="3289"/>
      </w:tblGrid>
      <w:tr w:rsidR="00315863" w:rsidRPr="007D308B" w:rsidTr="00FB3F7E">
        <w:tc>
          <w:tcPr>
            <w:tcW w:w="3289" w:type="dxa"/>
          </w:tcPr>
          <w:p w:rsidR="00315863" w:rsidRPr="007D308B" w:rsidRDefault="00B72490" w:rsidP="00FB3F7E">
            <w:pPr>
              <w:rPr>
                <w:rFonts w:ascii="Arial" w:hAnsi="Arial" w:cs="Arial"/>
                <w:i/>
                <w:sz w:val="22"/>
                <w:szCs w:val="22"/>
              </w:rPr>
            </w:pPr>
            <w:r>
              <w:rPr>
                <w:rFonts w:ascii="Arial" w:hAnsi="Arial" w:cs="Arial"/>
                <w:i/>
                <w:sz w:val="22"/>
                <w:szCs w:val="22"/>
              </w:rPr>
              <w:t>Deres</w:t>
            </w:r>
            <w:r w:rsidR="00315863" w:rsidRPr="007D308B">
              <w:rPr>
                <w:rFonts w:ascii="Arial" w:hAnsi="Arial" w:cs="Arial"/>
                <w:i/>
                <w:sz w:val="22"/>
                <w:szCs w:val="22"/>
              </w:rPr>
              <w:t xml:space="preserve"> ref.:</w:t>
            </w:r>
            <w:r w:rsidR="00460FE1">
              <w:t xml:space="preserve"> </w:t>
            </w:r>
          </w:p>
        </w:tc>
        <w:tc>
          <w:tcPr>
            <w:tcW w:w="3289" w:type="dxa"/>
          </w:tcPr>
          <w:p w:rsidR="00315863" w:rsidRPr="007D308B" w:rsidRDefault="002114DE" w:rsidP="00FB3F7E">
            <w:pPr>
              <w:rPr>
                <w:rFonts w:ascii="Arial" w:hAnsi="Arial" w:cs="Arial"/>
                <w:i/>
                <w:sz w:val="22"/>
                <w:szCs w:val="22"/>
              </w:rPr>
            </w:pPr>
            <w:r>
              <w:rPr>
                <w:rFonts w:ascii="Arial" w:hAnsi="Arial" w:cs="Arial"/>
                <w:i/>
                <w:sz w:val="22"/>
                <w:szCs w:val="22"/>
              </w:rPr>
              <w:t>Vår</w:t>
            </w:r>
            <w:r w:rsidR="00315863" w:rsidRPr="007D308B">
              <w:rPr>
                <w:rFonts w:ascii="Arial" w:hAnsi="Arial" w:cs="Arial"/>
                <w:i/>
                <w:sz w:val="22"/>
                <w:szCs w:val="22"/>
              </w:rPr>
              <w:t xml:space="preserve"> ref.:</w:t>
            </w:r>
          </w:p>
        </w:tc>
        <w:tc>
          <w:tcPr>
            <w:tcW w:w="3289" w:type="dxa"/>
          </w:tcPr>
          <w:p w:rsidR="00315863" w:rsidRPr="007D308B" w:rsidRDefault="00315863" w:rsidP="002114DE">
            <w:pPr>
              <w:rPr>
                <w:rFonts w:ascii="Arial" w:hAnsi="Arial" w:cs="Arial"/>
                <w:i/>
                <w:sz w:val="22"/>
                <w:szCs w:val="22"/>
              </w:rPr>
            </w:pPr>
            <w:r w:rsidRPr="007D308B">
              <w:rPr>
                <w:rFonts w:ascii="Arial" w:hAnsi="Arial" w:cs="Arial"/>
                <w:i/>
                <w:sz w:val="22"/>
                <w:szCs w:val="22"/>
              </w:rPr>
              <w:t>Dat</w:t>
            </w:r>
            <w:r w:rsidR="002114DE">
              <w:rPr>
                <w:rFonts w:ascii="Arial" w:hAnsi="Arial" w:cs="Arial"/>
                <w:i/>
                <w:sz w:val="22"/>
                <w:szCs w:val="22"/>
              </w:rPr>
              <w:t>o</w:t>
            </w:r>
            <w:r w:rsidRPr="007D308B">
              <w:rPr>
                <w:rFonts w:ascii="Arial" w:hAnsi="Arial" w:cs="Arial"/>
                <w:i/>
                <w:sz w:val="22"/>
                <w:szCs w:val="22"/>
              </w:rPr>
              <w:t>:</w:t>
            </w:r>
          </w:p>
        </w:tc>
      </w:tr>
      <w:tr w:rsidR="00315863" w:rsidRPr="007D308B" w:rsidTr="00FB3F7E">
        <w:tc>
          <w:tcPr>
            <w:tcW w:w="3289" w:type="dxa"/>
          </w:tcPr>
          <w:p w:rsidR="00315863" w:rsidRPr="007D308B" w:rsidRDefault="001325D4" w:rsidP="00FB3F7E">
            <w:pPr>
              <w:rPr>
                <w:rFonts w:ascii="Arial" w:hAnsi="Arial" w:cs="Arial"/>
                <w:sz w:val="22"/>
                <w:szCs w:val="22"/>
              </w:rPr>
            </w:pPr>
            <w:r w:rsidRPr="001325D4">
              <w:rPr>
                <w:rFonts w:ascii="Arial" w:hAnsi="Arial" w:cs="Arial"/>
                <w:i/>
                <w:sz w:val="22"/>
                <w:szCs w:val="22"/>
              </w:rPr>
              <w:t>19/1794</w:t>
            </w:r>
          </w:p>
        </w:tc>
        <w:tc>
          <w:tcPr>
            <w:tcW w:w="3289" w:type="dxa"/>
          </w:tcPr>
          <w:p w:rsidR="00315863" w:rsidRPr="007D308B" w:rsidRDefault="001325D4" w:rsidP="00FB3F7E">
            <w:pPr>
              <w:rPr>
                <w:rFonts w:ascii="Arial" w:hAnsi="Arial" w:cs="Arial"/>
                <w:sz w:val="22"/>
                <w:szCs w:val="22"/>
              </w:rPr>
            </w:pPr>
            <w:r>
              <w:rPr>
                <w:rFonts w:ascii="Arial" w:hAnsi="Arial" w:cs="Arial"/>
                <w:sz w:val="22"/>
                <w:szCs w:val="22"/>
              </w:rPr>
              <w:t>YS2019</w:t>
            </w:r>
          </w:p>
        </w:tc>
        <w:tc>
          <w:tcPr>
            <w:tcW w:w="3289" w:type="dxa"/>
          </w:tcPr>
          <w:p w:rsidR="00315863" w:rsidRPr="007D308B" w:rsidRDefault="001325D4" w:rsidP="00315863">
            <w:pPr>
              <w:rPr>
                <w:rFonts w:ascii="Arial" w:hAnsi="Arial" w:cs="Arial"/>
                <w:sz w:val="22"/>
                <w:szCs w:val="22"/>
              </w:rPr>
            </w:pPr>
            <w:r>
              <w:rPr>
                <w:rFonts w:ascii="Arial" w:hAnsi="Arial" w:cs="Arial"/>
                <w:sz w:val="22"/>
                <w:szCs w:val="22"/>
              </w:rPr>
              <w:t>15</w:t>
            </w:r>
            <w:r w:rsidR="00577C58">
              <w:rPr>
                <w:rFonts w:ascii="Arial" w:hAnsi="Arial" w:cs="Arial"/>
                <w:sz w:val="22"/>
                <w:szCs w:val="22"/>
              </w:rPr>
              <w:t>.0</w:t>
            </w:r>
            <w:r>
              <w:rPr>
                <w:rFonts w:ascii="Arial" w:hAnsi="Arial" w:cs="Arial"/>
                <w:sz w:val="22"/>
                <w:szCs w:val="22"/>
              </w:rPr>
              <w:t>9</w:t>
            </w:r>
            <w:r w:rsidR="00577C58">
              <w:rPr>
                <w:rFonts w:ascii="Arial" w:hAnsi="Arial" w:cs="Arial"/>
                <w:sz w:val="22"/>
                <w:szCs w:val="22"/>
              </w:rPr>
              <w:t>.20</w:t>
            </w:r>
            <w:r>
              <w:rPr>
                <w:rFonts w:ascii="Arial" w:hAnsi="Arial" w:cs="Arial"/>
                <w:sz w:val="22"/>
                <w:szCs w:val="22"/>
              </w:rPr>
              <w:t>19</w:t>
            </w:r>
          </w:p>
        </w:tc>
      </w:tr>
      <w:tr w:rsidR="00315863" w:rsidRPr="007D308B" w:rsidTr="00FB3F7E">
        <w:tc>
          <w:tcPr>
            <w:tcW w:w="3289" w:type="dxa"/>
          </w:tcPr>
          <w:p w:rsidR="00315863" w:rsidRPr="007D308B" w:rsidRDefault="00315863" w:rsidP="00FB3F7E">
            <w:pPr>
              <w:rPr>
                <w:rFonts w:ascii="Arial" w:hAnsi="Arial" w:cs="Arial"/>
                <w:sz w:val="22"/>
                <w:szCs w:val="22"/>
              </w:rPr>
            </w:pPr>
          </w:p>
        </w:tc>
        <w:tc>
          <w:tcPr>
            <w:tcW w:w="3289" w:type="dxa"/>
          </w:tcPr>
          <w:p w:rsidR="00315863" w:rsidRPr="007D308B" w:rsidRDefault="00315863" w:rsidP="00FB3F7E">
            <w:pPr>
              <w:rPr>
                <w:rFonts w:ascii="Arial" w:hAnsi="Arial" w:cs="Arial"/>
                <w:sz w:val="22"/>
                <w:szCs w:val="22"/>
              </w:rPr>
            </w:pPr>
          </w:p>
        </w:tc>
        <w:tc>
          <w:tcPr>
            <w:tcW w:w="3289" w:type="dxa"/>
          </w:tcPr>
          <w:p w:rsidR="00315863" w:rsidRPr="007D308B" w:rsidRDefault="00315863" w:rsidP="00FB3F7E">
            <w:pPr>
              <w:rPr>
                <w:rFonts w:ascii="Arial" w:hAnsi="Arial" w:cs="Arial"/>
                <w:sz w:val="22"/>
                <w:szCs w:val="22"/>
              </w:rPr>
            </w:pPr>
          </w:p>
        </w:tc>
      </w:tr>
    </w:tbl>
    <w:p w:rsidR="00F70AF9" w:rsidRPr="007D308B" w:rsidRDefault="00F70AF9" w:rsidP="00315863">
      <w:pPr>
        <w:rPr>
          <w:rFonts w:ascii="Arial" w:hAnsi="Arial" w:cs="Arial"/>
          <w:sz w:val="22"/>
          <w:szCs w:val="22"/>
        </w:rPr>
      </w:pPr>
    </w:p>
    <w:p w:rsidR="006038C2" w:rsidRPr="006038C2" w:rsidRDefault="00460FE1" w:rsidP="006038C2">
      <w:pPr>
        <w:rPr>
          <w:rFonts w:asciiTheme="minorHAnsi" w:eastAsiaTheme="minorHAnsi" w:hAnsiTheme="minorHAnsi" w:cstheme="minorBidi"/>
          <w:sz w:val="22"/>
          <w:szCs w:val="22"/>
          <w:lang w:val="nb-NO"/>
        </w:rPr>
      </w:pPr>
      <w:r>
        <w:rPr>
          <w:rFonts w:asciiTheme="majorHAnsi" w:eastAsiaTheme="majorEastAsia" w:hAnsiTheme="majorHAnsi" w:cstheme="majorBidi"/>
          <w:b/>
          <w:bCs/>
          <w:color w:val="365F91" w:themeColor="accent1" w:themeShade="BF"/>
          <w:sz w:val="28"/>
          <w:szCs w:val="28"/>
          <w:lang w:val="nb-NO"/>
        </w:rPr>
        <w:t>H</w:t>
      </w:r>
      <w:r w:rsidRPr="00460FE1">
        <w:rPr>
          <w:rFonts w:asciiTheme="majorHAnsi" w:eastAsiaTheme="majorEastAsia" w:hAnsiTheme="majorHAnsi" w:cstheme="majorBidi"/>
          <w:b/>
          <w:bCs/>
          <w:color w:val="365F91" w:themeColor="accent1" w:themeShade="BF"/>
          <w:sz w:val="28"/>
          <w:szCs w:val="28"/>
          <w:lang w:val="nb-NO"/>
        </w:rPr>
        <w:t xml:space="preserve">øring – </w:t>
      </w:r>
      <w:r w:rsidR="001325D4" w:rsidRPr="001325D4">
        <w:rPr>
          <w:rFonts w:asciiTheme="majorHAnsi" w:eastAsiaTheme="majorEastAsia" w:hAnsiTheme="majorHAnsi" w:cstheme="majorBidi"/>
          <w:b/>
          <w:bCs/>
          <w:color w:val="365F91" w:themeColor="accent1" w:themeShade="BF"/>
          <w:sz w:val="28"/>
          <w:szCs w:val="28"/>
          <w:lang w:val="nb-NO"/>
        </w:rPr>
        <w:t>FORLSAG OM ENDRINGER I ARBEIDSMILJØLOVEN – STYRKING AV HÅNDHEVINGEN AV INNLEIE- OG LIKEBEHANDLINGSREGLENE</w:t>
      </w:r>
    </w:p>
    <w:p w:rsidR="00313F86" w:rsidRPr="00313F86" w:rsidRDefault="00313F86" w:rsidP="00577C58">
      <w:pPr>
        <w:autoSpaceDE w:val="0"/>
        <w:autoSpaceDN w:val="0"/>
        <w:adjustRightInd w:val="0"/>
        <w:rPr>
          <w:rFonts w:ascii="Arial" w:eastAsiaTheme="minorHAnsi" w:hAnsi="Arial" w:cs="Arial"/>
          <w:sz w:val="22"/>
          <w:szCs w:val="22"/>
          <w:lang w:val="nb-NO"/>
        </w:rPr>
      </w:pPr>
    </w:p>
    <w:p w:rsidR="00313F86" w:rsidRPr="00313F86" w:rsidRDefault="00313F86" w:rsidP="00577C58">
      <w:pPr>
        <w:autoSpaceDE w:val="0"/>
        <w:autoSpaceDN w:val="0"/>
        <w:adjustRightInd w:val="0"/>
        <w:rPr>
          <w:rFonts w:ascii="Arial" w:eastAsiaTheme="minorHAnsi" w:hAnsi="Arial" w:cs="Arial"/>
          <w:sz w:val="22"/>
          <w:szCs w:val="22"/>
          <w:lang w:val="nb-NO"/>
        </w:rPr>
      </w:pPr>
    </w:p>
    <w:p w:rsidR="00460FE1" w:rsidRPr="001325D4" w:rsidRDefault="00460FE1" w:rsidP="00460FE1">
      <w:pPr>
        <w:autoSpaceDE w:val="0"/>
        <w:autoSpaceDN w:val="0"/>
        <w:adjustRightInd w:val="0"/>
        <w:rPr>
          <w:rFonts w:ascii="Arial" w:eastAsiaTheme="minorHAnsi" w:hAnsi="Arial" w:cs="Arial"/>
          <w:lang w:val="nb-NO"/>
        </w:rPr>
      </w:pPr>
      <w:r w:rsidRPr="001325D4">
        <w:rPr>
          <w:rFonts w:ascii="Arial" w:eastAsiaTheme="minorHAnsi" w:hAnsi="Arial" w:cs="Arial"/>
          <w:lang w:val="nb-NO"/>
        </w:rPr>
        <w:t xml:space="preserve">I det følgende redegjøres det for YS syn på foreslåtte endringer i </w:t>
      </w:r>
      <w:r w:rsidR="001325D4" w:rsidRPr="001325D4">
        <w:rPr>
          <w:rFonts w:ascii="Arial" w:eastAsiaTheme="minorHAnsi" w:hAnsi="Arial" w:cs="Arial"/>
          <w:lang w:val="nb-NO"/>
        </w:rPr>
        <w:t>Arbeidsmiljøloven – styrking av håndhevingen av innleie- og likebehandlingsreglene</w:t>
      </w:r>
      <w:r w:rsidRPr="001325D4">
        <w:rPr>
          <w:rFonts w:ascii="Arial" w:eastAsiaTheme="minorHAnsi" w:hAnsi="Arial" w:cs="Arial"/>
          <w:lang w:val="nb-NO"/>
        </w:rPr>
        <w:t xml:space="preserve">. Høringssvaret er basert på innspill fra YS' medlemsforbund. </w:t>
      </w:r>
    </w:p>
    <w:p w:rsidR="001325D4" w:rsidRPr="001325D4" w:rsidRDefault="001325D4" w:rsidP="00460FE1">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eastAsiaTheme="minorHAnsi" w:hAnsi="Arial" w:cs="Arial"/>
          <w:lang w:val="nb-NO"/>
        </w:rPr>
      </w:pPr>
      <w:r w:rsidRPr="001325D4">
        <w:rPr>
          <w:rFonts w:ascii="Arial" w:eastAsiaTheme="minorHAnsi" w:hAnsi="Arial" w:cs="Arial"/>
          <w:lang w:val="nb-NO"/>
        </w:rPr>
        <w:t>YS støtter i utgangspunktet Regjeringens forslag til styrking av håndhevingen av innleie- og likebehandlingsreglene. At Arbeidstilsynet gis slik kompetanse tror vi vil kunne bidra til å sikre etterlevelsen av lovbestemmelsene på dette området. Vi tror videre at det kan virke preventivt for hele arbeidslivet, samtidig som det vil kunne være et godt lavterskeltilbud for arbeidstakere som ikke nødvendigvis ønsker å bringe slike saker inn for domstolene.</w:t>
      </w:r>
    </w:p>
    <w:p w:rsidR="001325D4" w:rsidRPr="001325D4" w:rsidRDefault="001325D4" w:rsidP="001325D4">
      <w:pPr>
        <w:autoSpaceDE w:val="0"/>
        <w:autoSpaceDN w:val="0"/>
        <w:adjustRightInd w:val="0"/>
        <w:rPr>
          <w:rFonts w:ascii="Arial" w:eastAsiaTheme="minorHAnsi" w:hAnsi="Arial" w:cs="Arial"/>
          <w:lang w:val="nb-NO"/>
        </w:rPr>
      </w:pPr>
    </w:p>
    <w:p w:rsidR="001325D4" w:rsidRPr="001325D4" w:rsidRDefault="001325D4" w:rsidP="00460FE1">
      <w:pPr>
        <w:autoSpaceDE w:val="0"/>
        <w:autoSpaceDN w:val="0"/>
        <w:adjustRightInd w:val="0"/>
        <w:rPr>
          <w:rFonts w:ascii="Arial" w:hAnsi="Arial" w:cs="Arial"/>
          <w:lang w:val="nb-NO"/>
        </w:rPr>
      </w:pPr>
      <w:r w:rsidRPr="001325D4">
        <w:rPr>
          <w:rFonts w:ascii="Arial" w:eastAsiaTheme="minorHAnsi" w:hAnsi="Arial" w:cs="Arial"/>
          <w:lang w:val="nb-NO"/>
        </w:rPr>
        <w:t>Når det er sagt har YS har følgende kommentarer til forslagene:</w:t>
      </w:r>
      <w:r w:rsidRPr="001325D4">
        <w:rPr>
          <w:rFonts w:ascii="Arial" w:hAnsi="Arial" w:cs="Arial"/>
          <w:lang w:val="nb-NO"/>
        </w:rPr>
        <w:t xml:space="preserve"> </w:t>
      </w:r>
    </w:p>
    <w:p w:rsidR="001325D4" w:rsidRPr="001325D4" w:rsidRDefault="001325D4" w:rsidP="00460FE1">
      <w:pPr>
        <w:autoSpaceDE w:val="0"/>
        <w:autoSpaceDN w:val="0"/>
        <w:adjustRightInd w:val="0"/>
        <w:rPr>
          <w:rFonts w:ascii="Arial" w:eastAsiaTheme="minorHAnsi" w:hAnsi="Arial" w:cs="Arial"/>
          <w:lang w:val="nb-NO"/>
        </w:rPr>
      </w:pPr>
    </w:p>
    <w:p w:rsidR="001325D4" w:rsidRPr="001325D4" w:rsidRDefault="001325D4" w:rsidP="001325D4">
      <w:pPr>
        <w:rPr>
          <w:rFonts w:ascii="Arial" w:eastAsiaTheme="minorHAnsi" w:hAnsi="Arial" w:cs="Arial"/>
          <w:b/>
          <w:lang w:val="nb-NO"/>
        </w:rPr>
      </w:pPr>
      <w:r w:rsidRPr="001325D4">
        <w:rPr>
          <w:rFonts w:ascii="Arial" w:eastAsiaTheme="minorHAnsi" w:hAnsi="Arial" w:cs="Arial"/>
          <w:b/>
          <w:lang w:val="nb-NO"/>
        </w:rPr>
        <w:t xml:space="preserve">Kapitel 6 om offentlig kontroll med innleiereglene og likebehandlingsreglene. </w:t>
      </w:r>
    </w:p>
    <w:p w:rsidR="001325D4" w:rsidRPr="001325D4" w:rsidRDefault="001325D4" w:rsidP="00460FE1">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hAnsi="Arial" w:cs="Arial"/>
          <w:lang w:val="nb-NO"/>
        </w:rPr>
      </w:pPr>
      <w:r w:rsidRPr="001325D4">
        <w:rPr>
          <w:rFonts w:ascii="Arial" w:hAnsi="Arial" w:cs="Arial"/>
          <w:lang w:val="nb-NO"/>
        </w:rPr>
        <w:t xml:space="preserve">Når det gjelder avgrensing av tilsynets kompetanse mot entrepriseforhold, så mener YS at det å trekke et </w:t>
      </w:r>
      <w:r w:rsidRPr="001325D4">
        <w:rPr>
          <w:rFonts w:ascii="Arial" w:hAnsi="Arial" w:cs="Arial"/>
          <w:u w:val="single"/>
          <w:lang w:val="nb-NO"/>
        </w:rPr>
        <w:t>skille mellom innleie og entreprise</w:t>
      </w:r>
      <w:r w:rsidRPr="001325D4">
        <w:rPr>
          <w:rFonts w:ascii="Arial" w:hAnsi="Arial" w:cs="Arial"/>
          <w:lang w:val="nb-NO"/>
        </w:rPr>
        <w:t xml:space="preserve"> ikke er fornuftig.</w:t>
      </w:r>
    </w:p>
    <w:p w:rsidR="001325D4" w:rsidRPr="001325D4" w:rsidRDefault="001325D4" w:rsidP="001325D4">
      <w:pPr>
        <w:autoSpaceDE w:val="0"/>
        <w:autoSpaceDN w:val="0"/>
        <w:adjustRightInd w:val="0"/>
        <w:rPr>
          <w:rFonts w:ascii="Arial" w:hAnsi="Arial" w:cs="Arial"/>
          <w:lang w:val="nb-NO"/>
        </w:rPr>
      </w:pPr>
    </w:p>
    <w:p w:rsidR="001325D4" w:rsidRPr="001325D4" w:rsidRDefault="001325D4" w:rsidP="001325D4">
      <w:pPr>
        <w:autoSpaceDE w:val="0"/>
        <w:autoSpaceDN w:val="0"/>
        <w:adjustRightInd w:val="0"/>
        <w:rPr>
          <w:rFonts w:ascii="Arial" w:hAnsi="Arial" w:cs="Arial"/>
          <w:lang w:val="nb-NO"/>
        </w:rPr>
      </w:pPr>
      <w:r w:rsidRPr="001325D4">
        <w:rPr>
          <w:rFonts w:ascii="Arial" w:hAnsi="Arial" w:cs="Arial"/>
          <w:lang w:val="nb-NO"/>
        </w:rPr>
        <w:t>Grensen mellom innleie og entrepriseforhold er uklar. Høyesterett i HR-2018-2371-A (Norwegian) oppfordrer derfor lovgiver til å klargjøre grensen mellom innleie og entreprise. Det vises særlig til dommens premiss nummer 119:</w:t>
      </w:r>
    </w:p>
    <w:p w:rsidR="001325D4" w:rsidRPr="001325D4" w:rsidRDefault="001325D4" w:rsidP="001325D4">
      <w:pPr>
        <w:autoSpaceDE w:val="0"/>
        <w:autoSpaceDN w:val="0"/>
        <w:adjustRightInd w:val="0"/>
        <w:rPr>
          <w:rFonts w:ascii="Arial" w:hAnsi="Arial" w:cs="Arial"/>
          <w:lang w:val="nb-NO"/>
        </w:rPr>
      </w:pPr>
    </w:p>
    <w:p w:rsidR="001325D4" w:rsidRPr="001325D4" w:rsidRDefault="001325D4" w:rsidP="001325D4">
      <w:pPr>
        <w:autoSpaceDE w:val="0"/>
        <w:autoSpaceDN w:val="0"/>
        <w:adjustRightInd w:val="0"/>
        <w:ind w:left="705"/>
        <w:rPr>
          <w:rFonts w:ascii="Arial" w:hAnsi="Arial" w:cs="Arial"/>
          <w:i/>
          <w:lang w:val="nb-NO"/>
        </w:rPr>
      </w:pPr>
      <w:r w:rsidRPr="001325D4">
        <w:rPr>
          <w:rFonts w:ascii="Arial" w:hAnsi="Arial" w:cs="Arial"/>
          <w:i/>
          <w:lang w:val="nb-NO"/>
        </w:rPr>
        <w:t xml:space="preserve">Som Høyesterett bemerket i Rt-2013-998 (Quality  People) avsnitt 63, kan  nye måter å  organisere næringsvirksomhet på utfordre arbeidsmiljølovens formål om å sikre trygge ansettelsesforhold. Det er videre slik at flytting av arbeidstakere til andre selskaper innen et konsern får konsekvenser for deres rett til informasjon, samarbeid og medbestemmelse i henhold til hovedavtalen og arbeidsmiljøloven. Gitt de klare lovgiveruttalelsene knyttet til gjeldende </w:t>
      </w:r>
      <w:r w:rsidRPr="001325D4">
        <w:rPr>
          <w:rFonts w:ascii="Arial" w:hAnsi="Arial" w:cs="Arial"/>
          <w:i/>
          <w:lang w:val="nb-NO"/>
        </w:rPr>
        <w:lastRenderedPageBreak/>
        <w:t xml:space="preserve">arbeidsgiverbegrep må det imidlertid være opp til lovgiver å avgjøre om det bør gis en slik regel som arbeidstakersiden har argumentert for. </w:t>
      </w:r>
    </w:p>
    <w:p w:rsidR="001325D4" w:rsidRPr="001325D4" w:rsidRDefault="001325D4" w:rsidP="001325D4">
      <w:pPr>
        <w:autoSpaceDE w:val="0"/>
        <w:autoSpaceDN w:val="0"/>
        <w:adjustRightInd w:val="0"/>
        <w:rPr>
          <w:rFonts w:ascii="Arial" w:hAnsi="Arial" w:cs="Arial"/>
          <w:lang w:val="nb-NO"/>
        </w:rPr>
      </w:pPr>
    </w:p>
    <w:p w:rsidR="001325D4" w:rsidRPr="001325D4" w:rsidRDefault="001325D4" w:rsidP="001325D4">
      <w:pPr>
        <w:autoSpaceDE w:val="0"/>
        <w:autoSpaceDN w:val="0"/>
        <w:adjustRightInd w:val="0"/>
        <w:rPr>
          <w:rFonts w:ascii="Arial" w:hAnsi="Arial" w:cs="Arial"/>
          <w:lang w:val="nb-NO"/>
        </w:rPr>
      </w:pPr>
      <w:r w:rsidRPr="001325D4">
        <w:rPr>
          <w:rFonts w:ascii="Arial" w:hAnsi="Arial" w:cs="Arial"/>
          <w:lang w:val="nb-NO"/>
        </w:rPr>
        <w:t xml:space="preserve">Da endringen vil føre til et skille mellom reglene for innleie og entreprise oppfordres departementet til å klargjøre vilkårene for å anse arbeidskraft som enterpriseforhold. </w:t>
      </w:r>
    </w:p>
    <w:p w:rsidR="001325D4" w:rsidRPr="001325D4" w:rsidRDefault="001325D4" w:rsidP="001325D4">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eastAsiaTheme="minorHAnsi" w:hAnsi="Arial" w:cs="Arial"/>
          <w:lang w:val="nb-NO"/>
        </w:rPr>
      </w:pPr>
      <w:r w:rsidRPr="001325D4">
        <w:rPr>
          <w:rFonts w:ascii="Arial" w:eastAsiaTheme="minorHAnsi" w:hAnsi="Arial" w:cs="Arial"/>
          <w:lang w:val="nb-NO"/>
        </w:rPr>
        <w:t xml:space="preserve">Videre foreslår departementet ev avgrensing av offentlig kontroll mot reglene om </w:t>
      </w:r>
      <w:r w:rsidRPr="001325D4">
        <w:rPr>
          <w:rFonts w:ascii="Arial" w:eastAsiaTheme="minorHAnsi" w:hAnsi="Arial" w:cs="Arial"/>
          <w:u w:val="single"/>
          <w:lang w:val="nb-NO"/>
        </w:rPr>
        <w:t>midlertidige ansettelser</w:t>
      </w:r>
      <w:r w:rsidRPr="001325D4">
        <w:rPr>
          <w:rFonts w:ascii="Arial" w:eastAsiaTheme="minorHAnsi" w:hAnsi="Arial" w:cs="Arial"/>
          <w:lang w:val="nb-NO"/>
        </w:rPr>
        <w:t xml:space="preserve">. YS ser ikke begrunnelsen for å skille Arbeidstilsynets kompetanse til å føre tilsyn med innleide og midlertidig ansatte. YS ønsker derfor at departementet vurderer å utvide Arbeidstilsynets kompetanse til å også føre tilsyn med vilkårene for midlertidig ansettelser etter arbeidsmiljølovens §14-9 i sin helhet. </w:t>
      </w:r>
    </w:p>
    <w:p w:rsidR="001325D4" w:rsidRPr="001325D4" w:rsidRDefault="001325D4" w:rsidP="001325D4">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eastAsiaTheme="minorHAnsi" w:hAnsi="Arial" w:cs="Arial"/>
          <w:lang w:val="nb-NO"/>
        </w:rPr>
      </w:pPr>
      <w:r w:rsidRPr="001325D4">
        <w:rPr>
          <w:rFonts w:ascii="Arial" w:eastAsiaTheme="minorHAnsi" w:hAnsi="Arial" w:cs="Arial"/>
          <w:lang w:val="nb-NO"/>
        </w:rPr>
        <w:t xml:space="preserve">Videre avgrenser forslaget Arbeidstilsynets kompetanse til kun å omfatte </w:t>
      </w:r>
      <w:r w:rsidRPr="001325D4">
        <w:rPr>
          <w:rFonts w:ascii="Arial" w:eastAsiaTheme="minorHAnsi" w:hAnsi="Arial" w:cs="Arial"/>
          <w:u w:val="single"/>
          <w:lang w:val="nb-NO"/>
        </w:rPr>
        <w:t>arbeidsmiljølovens § 14-12 a første ledd</w:t>
      </w:r>
      <w:r w:rsidRPr="001325D4">
        <w:rPr>
          <w:rFonts w:ascii="Arial" w:eastAsiaTheme="minorHAnsi" w:hAnsi="Arial" w:cs="Arial"/>
          <w:lang w:val="nb-NO"/>
        </w:rPr>
        <w:t xml:space="preserve"> og omfatter blant annet ikke kravet i andre ledd som gjelder innleides tilgang til innleievirksomhetens felles goder og tjenester. Begge bestemmelsene regulerer deler av likebehandlingsprinsippet, og må ses i sammenheng. Avgrensingen fremstår derfor som kunstig. Tilgang til kantine, barnehager m.m. vil ha stor betydning for den enkelte innleide, og bør derfor omfattes av tilsynskompetansen for å sikre en effektiv håndheving av prinsippet om likebehandling.  Når Arbeidstilsynet først skal før tilsyn med at virksomhetene overholder en del av regelverket, kan YS ikke se at en eventuell utvidelse av kompetansen til å gjelde hele regelverket vil føre til vesentlig økt ressursbruk for tilsynsmyndighetene. </w:t>
      </w:r>
    </w:p>
    <w:p w:rsidR="001325D4" w:rsidRPr="001325D4" w:rsidRDefault="001325D4" w:rsidP="001325D4">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eastAsiaTheme="minorHAnsi" w:hAnsi="Arial" w:cs="Arial"/>
          <w:b/>
          <w:lang w:val="nb-NO"/>
        </w:rPr>
      </w:pPr>
      <w:r w:rsidRPr="001325D4">
        <w:rPr>
          <w:rFonts w:ascii="Arial" w:eastAsiaTheme="minorHAnsi" w:hAnsi="Arial" w:cs="Arial"/>
          <w:b/>
          <w:lang w:val="nb-NO"/>
        </w:rPr>
        <w:t xml:space="preserve">Kapitel 7 om endringer i Arbeidsmarkedsloven § 27 første ledd nr.2 </w:t>
      </w:r>
    </w:p>
    <w:p w:rsidR="001325D4" w:rsidRPr="001325D4" w:rsidRDefault="001325D4" w:rsidP="00313F86">
      <w:pPr>
        <w:autoSpaceDE w:val="0"/>
        <w:autoSpaceDN w:val="0"/>
        <w:adjustRightInd w:val="0"/>
        <w:rPr>
          <w:rFonts w:ascii="Arial" w:eastAsiaTheme="minorHAnsi" w:hAnsi="Arial" w:cs="Arial"/>
          <w:lang w:val="nb-NO"/>
        </w:rPr>
      </w:pPr>
    </w:p>
    <w:p w:rsidR="001325D4" w:rsidRPr="001325D4" w:rsidRDefault="001325D4" w:rsidP="001325D4">
      <w:pPr>
        <w:autoSpaceDE w:val="0"/>
        <w:autoSpaceDN w:val="0"/>
        <w:adjustRightInd w:val="0"/>
        <w:rPr>
          <w:rFonts w:ascii="Arial" w:eastAsiaTheme="minorHAnsi" w:hAnsi="Arial" w:cs="Arial"/>
          <w:lang w:val="nb-NO"/>
        </w:rPr>
      </w:pPr>
      <w:r w:rsidRPr="001325D4">
        <w:rPr>
          <w:rFonts w:ascii="Arial" w:eastAsiaTheme="minorHAnsi" w:hAnsi="Arial" w:cs="Arial"/>
          <w:lang w:val="nb-NO"/>
        </w:rPr>
        <w:t xml:space="preserve">Når det gjelder departementets forslag om å oppheve karantenetidsbestemmelsen i Arbeidsmarkedsloven § 27 første ledd nr. 2, </w:t>
      </w:r>
      <w:r>
        <w:rPr>
          <w:rFonts w:ascii="Arial" w:eastAsiaTheme="minorHAnsi" w:hAnsi="Arial" w:cs="Arial"/>
          <w:lang w:val="nb-NO"/>
        </w:rPr>
        <w:t xml:space="preserve">er ikke YS enig i dette. </w:t>
      </w:r>
      <w:r w:rsidRPr="001325D4">
        <w:rPr>
          <w:rFonts w:ascii="Arial" w:eastAsiaTheme="minorHAnsi" w:hAnsi="Arial" w:cs="Arial"/>
          <w:lang w:val="nb-NO"/>
        </w:rPr>
        <w:t xml:space="preserve">Bestemmelsen virker preventivt og motvirker en uheldig rekrutteringspraksis til bemanningsbransjen i tider med mangel på kompetent arbeidskraft. En eventuell oppheving av arbeidsmarkedsloven §27 første ledd nr. 2, bør i tilfelle følges opp med en samtidig og tilsvarende regulering i forskrift i medhold av arbeidsmiljøloven §14-12 femte ledd. </w:t>
      </w:r>
    </w:p>
    <w:p w:rsidR="001325D4" w:rsidRDefault="001325D4" w:rsidP="00313F86">
      <w:pPr>
        <w:autoSpaceDE w:val="0"/>
        <w:autoSpaceDN w:val="0"/>
        <w:adjustRightInd w:val="0"/>
        <w:rPr>
          <w:rFonts w:ascii="Arial" w:eastAsiaTheme="minorHAnsi" w:hAnsi="Arial" w:cs="Arial"/>
          <w:lang w:val="nb-NO"/>
        </w:rPr>
      </w:pPr>
    </w:p>
    <w:p w:rsidR="00E25E88" w:rsidRPr="00313F86" w:rsidRDefault="00E25E88" w:rsidP="00577C58">
      <w:pPr>
        <w:autoSpaceDE w:val="0"/>
        <w:autoSpaceDN w:val="0"/>
        <w:adjustRightInd w:val="0"/>
        <w:rPr>
          <w:rFonts w:ascii="Arial" w:hAnsi="Arial" w:cs="Arial"/>
          <w:sz w:val="22"/>
          <w:szCs w:val="22"/>
          <w:lang w:val="nb-NO"/>
        </w:rPr>
      </w:pPr>
      <w:r w:rsidRPr="00313F86">
        <w:rPr>
          <w:rFonts w:ascii="Arial" w:hAnsi="Arial" w:cs="Arial"/>
          <w:color w:val="000000"/>
          <w:sz w:val="22"/>
          <w:szCs w:val="22"/>
          <w:lang w:val="nb-NO"/>
        </w:rPr>
        <w:br/>
      </w:r>
      <w:r w:rsidRPr="00313F86">
        <w:rPr>
          <w:rFonts w:ascii="Arial" w:hAnsi="Arial" w:cs="Arial"/>
          <w:sz w:val="22"/>
          <w:szCs w:val="22"/>
          <w:lang w:val="nb-NO"/>
        </w:rPr>
        <w:t>Vennlig hilsen</w:t>
      </w:r>
    </w:p>
    <w:p w:rsidR="00460FE1" w:rsidRPr="00313F86" w:rsidRDefault="00460FE1" w:rsidP="00460FE1">
      <w:pPr>
        <w:autoSpaceDE w:val="0"/>
        <w:autoSpaceDN w:val="0"/>
        <w:adjustRightInd w:val="0"/>
        <w:rPr>
          <w:rFonts w:ascii="Arial" w:hAnsi="Arial" w:cs="Arial"/>
          <w:sz w:val="22"/>
          <w:szCs w:val="22"/>
          <w:lang w:val="nb-NO"/>
        </w:rPr>
      </w:pPr>
    </w:p>
    <w:p w:rsidR="00460FE1" w:rsidRDefault="00460FE1" w:rsidP="00460FE1">
      <w:pPr>
        <w:autoSpaceDE w:val="0"/>
        <w:autoSpaceDN w:val="0"/>
        <w:adjustRightInd w:val="0"/>
        <w:rPr>
          <w:rFonts w:ascii="Arial" w:hAnsi="Arial" w:cs="Arial"/>
          <w:sz w:val="22"/>
          <w:szCs w:val="22"/>
          <w:lang w:val="nb-NO"/>
        </w:rPr>
      </w:pPr>
    </w:p>
    <w:p w:rsidR="00460FE1" w:rsidRPr="00313F86" w:rsidRDefault="00460FE1" w:rsidP="00460FE1">
      <w:pPr>
        <w:autoSpaceDE w:val="0"/>
        <w:autoSpaceDN w:val="0"/>
        <w:adjustRightInd w:val="0"/>
        <w:rPr>
          <w:rFonts w:ascii="Arial" w:hAnsi="Arial" w:cs="Arial"/>
          <w:sz w:val="22"/>
          <w:szCs w:val="22"/>
          <w:lang w:val="nb-NO"/>
        </w:rPr>
      </w:pPr>
      <w:r>
        <w:rPr>
          <w:rFonts w:ascii="Arial" w:hAnsi="Arial" w:cs="Arial"/>
          <w:sz w:val="22"/>
          <w:szCs w:val="22"/>
          <w:lang w:val="nb-NO"/>
        </w:rPr>
        <w:t>H</w:t>
      </w:r>
      <w:r w:rsidRPr="00313F86">
        <w:rPr>
          <w:rFonts w:ascii="Arial" w:hAnsi="Arial" w:cs="Arial"/>
          <w:sz w:val="22"/>
          <w:szCs w:val="22"/>
          <w:lang w:val="nb-NO"/>
        </w:rPr>
        <w:t>åvard Lismoen</w:t>
      </w:r>
    </w:p>
    <w:p w:rsidR="00577C58" w:rsidRDefault="00460FE1" w:rsidP="00460FE1">
      <w:pPr>
        <w:autoSpaceDE w:val="0"/>
        <w:autoSpaceDN w:val="0"/>
        <w:adjustRightInd w:val="0"/>
        <w:rPr>
          <w:rFonts w:ascii="Arial" w:hAnsi="Arial" w:cs="Arial"/>
          <w:sz w:val="22"/>
          <w:szCs w:val="22"/>
          <w:lang w:val="nb-NO"/>
        </w:rPr>
      </w:pPr>
      <w:r>
        <w:rPr>
          <w:rFonts w:ascii="Arial" w:hAnsi="Arial" w:cs="Arial"/>
          <w:sz w:val="22"/>
          <w:szCs w:val="22"/>
          <w:lang w:val="nb-NO"/>
        </w:rPr>
        <w:t xml:space="preserve">Fagsjef, </w:t>
      </w:r>
      <w:r w:rsidRPr="00313F86">
        <w:rPr>
          <w:rFonts w:ascii="Arial" w:hAnsi="Arial" w:cs="Arial"/>
          <w:sz w:val="22"/>
          <w:szCs w:val="22"/>
          <w:lang w:val="nb-NO"/>
        </w:rPr>
        <w:t>YS</w:t>
      </w:r>
      <w:r w:rsidRPr="00313F86">
        <w:rPr>
          <w:rFonts w:ascii="Arial" w:hAnsi="Arial" w:cs="Arial"/>
          <w:sz w:val="22"/>
          <w:szCs w:val="22"/>
          <w:lang w:val="nb-NO"/>
        </w:rPr>
        <w:tab/>
      </w:r>
    </w:p>
    <w:p w:rsidR="00D041BC" w:rsidRPr="00313F86" w:rsidRDefault="00D041BC" w:rsidP="00577C58">
      <w:pPr>
        <w:autoSpaceDE w:val="0"/>
        <w:autoSpaceDN w:val="0"/>
        <w:adjustRightInd w:val="0"/>
        <w:rPr>
          <w:rFonts w:ascii="Arial" w:hAnsi="Arial" w:cs="Arial"/>
          <w:sz w:val="22"/>
          <w:szCs w:val="22"/>
          <w:lang w:val="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460FE1" w:rsidRPr="00886EBF" w:rsidTr="00460FE1">
        <w:tc>
          <w:tcPr>
            <w:tcW w:w="4045" w:type="dxa"/>
          </w:tcPr>
          <w:p w:rsidR="00460FE1" w:rsidRPr="00313F86" w:rsidRDefault="00460FE1" w:rsidP="00577C58">
            <w:pPr>
              <w:autoSpaceDE w:val="0"/>
              <w:autoSpaceDN w:val="0"/>
              <w:adjustRightInd w:val="0"/>
              <w:rPr>
                <w:rFonts w:ascii="Arial" w:hAnsi="Arial" w:cs="Arial"/>
                <w:sz w:val="22"/>
                <w:szCs w:val="22"/>
                <w:lang w:val="nb-NO"/>
              </w:rPr>
            </w:pPr>
          </w:p>
          <w:p w:rsidR="00460FE1" w:rsidRPr="00313F86" w:rsidRDefault="00460FE1" w:rsidP="00460FE1">
            <w:pPr>
              <w:autoSpaceDE w:val="0"/>
              <w:autoSpaceDN w:val="0"/>
              <w:adjustRightInd w:val="0"/>
              <w:rPr>
                <w:rFonts w:ascii="Arial" w:hAnsi="Arial" w:cs="Arial"/>
                <w:sz w:val="22"/>
                <w:szCs w:val="22"/>
                <w:lang w:val="nb-NO"/>
              </w:rPr>
            </w:pPr>
          </w:p>
        </w:tc>
      </w:tr>
    </w:tbl>
    <w:p w:rsidR="002F6629" w:rsidRPr="00577C58" w:rsidRDefault="002F6629" w:rsidP="00315863">
      <w:pPr>
        <w:pStyle w:val="Ingenmellomrom"/>
        <w:rPr>
          <w:rFonts w:ascii="Arial" w:hAnsi="Arial" w:cs="Arial"/>
          <w:sz w:val="22"/>
          <w:szCs w:val="22"/>
          <w:lang w:val="nb-NO"/>
        </w:rPr>
      </w:pPr>
    </w:p>
    <w:sectPr w:rsidR="002F6629" w:rsidRPr="00577C58" w:rsidSect="00FB3F7E">
      <w:footerReference w:type="default" r:id="rId8"/>
      <w:headerReference w:type="first" r:id="rId9"/>
      <w:type w:val="continuous"/>
      <w:pgSz w:w="11906" w:h="16838" w:code="9"/>
      <w:pgMar w:top="1418" w:right="2189" w:bottom="1418" w:left="1588"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784" w:rsidRDefault="008C3784">
      <w:r>
        <w:separator/>
      </w:r>
    </w:p>
  </w:endnote>
  <w:endnote w:type="continuationSeparator" w:id="0">
    <w:p w:rsidR="008C3784" w:rsidRDefault="008C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BDPE L+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8C9" w:rsidRDefault="006308C9">
    <w:pPr>
      <w:pStyle w:val="Bunntekst"/>
      <w:ind w:left="-1080" w:right="-13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784" w:rsidRDefault="008C3784">
      <w:r>
        <w:separator/>
      </w:r>
    </w:p>
  </w:footnote>
  <w:footnote w:type="continuationSeparator" w:id="0">
    <w:p w:rsidR="008C3784" w:rsidRDefault="008C3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8C9" w:rsidRDefault="006308C9">
    <w:pPr>
      <w:pStyle w:val="Topptekst"/>
    </w:pPr>
    <w:r>
      <w:rPr>
        <w:noProof/>
        <w:lang w:val="nb-NO" w:eastAsia="nb-NO"/>
      </w:rPr>
      <w:drawing>
        <wp:inline distT="0" distB="0" distL="0" distR="0" wp14:anchorId="16957443" wp14:editId="7E99EEB3">
          <wp:extent cx="3657600" cy="8953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09EC"/>
    <w:multiLevelType w:val="hybridMultilevel"/>
    <w:tmpl w:val="6496602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CF42165"/>
    <w:multiLevelType w:val="hybridMultilevel"/>
    <w:tmpl w:val="ABEC18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85D679E"/>
    <w:multiLevelType w:val="hybridMultilevel"/>
    <w:tmpl w:val="CFCE930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905048B"/>
    <w:multiLevelType w:val="hybridMultilevel"/>
    <w:tmpl w:val="0962512E"/>
    <w:lvl w:ilvl="0" w:tplc="04140001">
      <w:start w:val="1"/>
      <w:numFmt w:val="bullet"/>
      <w:lvlText w:val=""/>
      <w:lvlJc w:val="left"/>
      <w:pPr>
        <w:ind w:left="915" w:hanging="360"/>
      </w:pPr>
      <w:rPr>
        <w:rFonts w:ascii="Symbol" w:hAnsi="Symbol" w:hint="default"/>
      </w:rPr>
    </w:lvl>
    <w:lvl w:ilvl="1" w:tplc="04140003" w:tentative="1">
      <w:start w:val="1"/>
      <w:numFmt w:val="bullet"/>
      <w:lvlText w:val="o"/>
      <w:lvlJc w:val="left"/>
      <w:pPr>
        <w:ind w:left="1635" w:hanging="360"/>
      </w:pPr>
      <w:rPr>
        <w:rFonts w:ascii="Courier New" w:hAnsi="Courier New" w:cs="Courier New" w:hint="default"/>
      </w:rPr>
    </w:lvl>
    <w:lvl w:ilvl="2" w:tplc="04140005" w:tentative="1">
      <w:start w:val="1"/>
      <w:numFmt w:val="bullet"/>
      <w:lvlText w:val=""/>
      <w:lvlJc w:val="left"/>
      <w:pPr>
        <w:ind w:left="2355" w:hanging="360"/>
      </w:pPr>
      <w:rPr>
        <w:rFonts w:ascii="Wingdings" w:hAnsi="Wingdings" w:hint="default"/>
      </w:rPr>
    </w:lvl>
    <w:lvl w:ilvl="3" w:tplc="04140001" w:tentative="1">
      <w:start w:val="1"/>
      <w:numFmt w:val="bullet"/>
      <w:lvlText w:val=""/>
      <w:lvlJc w:val="left"/>
      <w:pPr>
        <w:ind w:left="3075" w:hanging="360"/>
      </w:pPr>
      <w:rPr>
        <w:rFonts w:ascii="Symbol" w:hAnsi="Symbol" w:hint="default"/>
      </w:rPr>
    </w:lvl>
    <w:lvl w:ilvl="4" w:tplc="04140003" w:tentative="1">
      <w:start w:val="1"/>
      <w:numFmt w:val="bullet"/>
      <w:lvlText w:val="o"/>
      <w:lvlJc w:val="left"/>
      <w:pPr>
        <w:ind w:left="3795" w:hanging="360"/>
      </w:pPr>
      <w:rPr>
        <w:rFonts w:ascii="Courier New" w:hAnsi="Courier New" w:cs="Courier New" w:hint="default"/>
      </w:rPr>
    </w:lvl>
    <w:lvl w:ilvl="5" w:tplc="04140005" w:tentative="1">
      <w:start w:val="1"/>
      <w:numFmt w:val="bullet"/>
      <w:lvlText w:val=""/>
      <w:lvlJc w:val="left"/>
      <w:pPr>
        <w:ind w:left="4515" w:hanging="360"/>
      </w:pPr>
      <w:rPr>
        <w:rFonts w:ascii="Wingdings" w:hAnsi="Wingdings" w:hint="default"/>
      </w:rPr>
    </w:lvl>
    <w:lvl w:ilvl="6" w:tplc="04140001" w:tentative="1">
      <w:start w:val="1"/>
      <w:numFmt w:val="bullet"/>
      <w:lvlText w:val=""/>
      <w:lvlJc w:val="left"/>
      <w:pPr>
        <w:ind w:left="5235" w:hanging="360"/>
      </w:pPr>
      <w:rPr>
        <w:rFonts w:ascii="Symbol" w:hAnsi="Symbol" w:hint="default"/>
      </w:rPr>
    </w:lvl>
    <w:lvl w:ilvl="7" w:tplc="04140003" w:tentative="1">
      <w:start w:val="1"/>
      <w:numFmt w:val="bullet"/>
      <w:lvlText w:val="o"/>
      <w:lvlJc w:val="left"/>
      <w:pPr>
        <w:ind w:left="5955" w:hanging="360"/>
      </w:pPr>
      <w:rPr>
        <w:rFonts w:ascii="Courier New" w:hAnsi="Courier New" w:cs="Courier New" w:hint="default"/>
      </w:rPr>
    </w:lvl>
    <w:lvl w:ilvl="8" w:tplc="04140005" w:tentative="1">
      <w:start w:val="1"/>
      <w:numFmt w:val="bullet"/>
      <w:lvlText w:val=""/>
      <w:lvlJc w:val="left"/>
      <w:pPr>
        <w:ind w:left="6675" w:hanging="360"/>
      </w:pPr>
      <w:rPr>
        <w:rFonts w:ascii="Wingdings" w:hAnsi="Wingdings" w:hint="default"/>
      </w:rPr>
    </w:lvl>
  </w:abstractNum>
  <w:abstractNum w:abstractNumId="4" w15:restartNumberingAfterBreak="0">
    <w:nsid w:val="54F91FDF"/>
    <w:multiLevelType w:val="hybridMultilevel"/>
    <w:tmpl w:val="A720F69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DBA798F"/>
    <w:multiLevelType w:val="hybridMultilevel"/>
    <w:tmpl w:val="834453DE"/>
    <w:lvl w:ilvl="0" w:tplc="036A5594">
      <w:start w:val="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8AC5357"/>
    <w:multiLevelType w:val="hybridMultilevel"/>
    <w:tmpl w:val="7B3AF2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79404E"/>
    <w:multiLevelType w:val="hybridMultilevel"/>
    <w:tmpl w:val="4F4436D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63"/>
    <w:rsid w:val="00043F7C"/>
    <w:rsid w:val="0005003B"/>
    <w:rsid w:val="00054297"/>
    <w:rsid w:val="00073516"/>
    <w:rsid w:val="001325D4"/>
    <w:rsid w:val="001E5B36"/>
    <w:rsid w:val="002114DE"/>
    <w:rsid w:val="00224909"/>
    <w:rsid w:val="00232F6F"/>
    <w:rsid w:val="002B0C97"/>
    <w:rsid w:val="002F6629"/>
    <w:rsid w:val="00313F86"/>
    <w:rsid w:val="00315863"/>
    <w:rsid w:val="003363CE"/>
    <w:rsid w:val="00454560"/>
    <w:rsid w:val="00460FE1"/>
    <w:rsid w:val="0047491B"/>
    <w:rsid w:val="005045FD"/>
    <w:rsid w:val="0051037B"/>
    <w:rsid w:val="00517B18"/>
    <w:rsid w:val="0053303B"/>
    <w:rsid w:val="005562D5"/>
    <w:rsid w:val="00577C58"/>
    <w:rsid w:val="005D4478"/>
    <w:rsid w:val="006038C2"/>
    <w:rsid w:val="00604748"/>
    <w:rsid w:val="006308C9"/>
    <w:rsid w:val="0064573D"/>
    <w:rsid w:val="0065621C"/>
    <w:rsid w:val="00705C18"/>
    <w:rsid w:val="00732125"/>
    <w:rsid w:val="007739AC"/>
    <w:rsid w:val="007A18D6"/>
    <w:rsid w:val="007A785C"/>
    <w:rsid w:val="007D308B"/>
    <w:rsid w:val="00886EBF"/>
    <w:rsid w:val="008A3E11"/>
    <w:rsid w:val="008C3784"/>
    <w:rsid w:val="00906181"/>
    <w:rsid w:val="00A82FE2"/>
    <w:rsid w:val="00AA050B"/>
    <w:rsid w:val="00AC3E0E"/>
    <w:rsid w:val="00AF176F"/>
    <w:rsid w:val="00B4029D"/>
    <w:rsid w:val="00B72490"/>
    <w:rsid w:val="00B913BA"/>
    <w:rsid w:val="00B97540"/>
    <w:rsid w:val="00C06BAB"/>
    <w:rsid w:val="00C52F12"/>
    <w:rsid w:val="00C86B0A"/>
    <w:rsid w:val="00CD79D9"/>
    <w:rsid w:val="00D041BC"/>
    <w:rsid w:val="00D91A1F"/>
    <w:rsid w:val="00DB2867"/>
    <w:rsid w:val="00DC1877"/>
    <w:rsid w:val="00E25E88"/>
    <w:rsid w:val="00E34F42"/>
    <w:rsid w:val="00E46303"/>
    <w:rsid w:val="00E722EA"/>
    <w:rsid w:val="00EB238E"/>
    <w:rsid w:val="00F06559"/>
    <w:rsid w:val="00F370B7"/>
    <w:rsid w:val="00F669F8"/>
    <w:rsid w:val="00F70AF9"/>
    <w:rsid w:val="00F7171D"/>
    <w:rsid w:val="00FB3F7E"/>
    <w:rsid w:val="00FE740E"/>
    <w:rsid w:val="00FF49C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3F464-29A9-4A49-8B75-A17A24BD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863"/>
    <w:pPr>
      <w:spacing w:after="0" w:line="240" w:lineRule="auto"/>
    </w:pPr>
    <w:rPr>
      <w:rFonts w:ascii="Times New Roman" w:eastAsia="Times New Roman" w:hAnsi="Times New Roman" w:cs="Times New Roman"/>
      <w:sz w:val="24"/>
      <w:szCs w:val="24"/>
      <w:lang w:val="en-GB"/>
    </w:rPr>
  </w:style>
  <w:style w:type="paragraph" w:styleId="Overskrift2">
    <w:name w:val="heading 2"/>
    <w:basedOn w:val="Normal"/>
    <w:next w:val="Normal"/>
    <w:link w:val="Overskrift2Tegn"/>
    <w:uiPriority w:val="9"/>
    <w:unhideWhenUsed/>
    <w:qFormat/>
    <w:rsid w:val="001325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15863"/>
    <w:pPr>
      <w:tabs>
        <w:tab w:val="center" w:pos="4536"/>
        <w:tab w:val="right" w:pos="9072"/>
      </w:tabs>
    </w:pPr>
  </w:style>
  <w:style w:type="character" w:customStyle="1" w:styleId="TopptekstTegn">
    <w:name w:val="Topptekst Tegn"/>
    <w:basedOn w:val="Standardskriftforavsnitt"/>
    <w:link w:val="Topptekst"/>
    <w:rsid w:val="00315863"/>
    <w:rPr>
      <w:rFonts w:ascii="Times New Roman" w:eastAsia="Times New Roman" w:hAnsi="Times New Roman" w:cs="Times New Roman"/>
      <w:sz w:val="24"/>
      <w:szCs w:val="24"/>
      <w:lang w:val="en-GB"/>
    </w:rPr>
  </w:style>
  <w:style w:type="paragraph" w:styleId="Bunntekst">
    <w:name w:val="footer"/>
    <w:basedOn w:val="Normal"/>
    <w:link w:val="BunntekstTegn"/>
    <w:rsid w:val="00315863"/>
    <w:pPr>
      <w:tabs>
        <w:tab w:val="center" w:pos="4536"/>
        <w:tab w:val="right" w:pos="9072"/>
      </w:tabs>
    </w:pPr>
  </w:style>
  <w:style w:type="character" w:customStyle="1" w:styleId="BunntekstTegn">
    <w:name w:val="Bunntekst Tegn"/>
    <w:basedOn w:val="Standardskriftforavsnitt"/>
    <w:link w:val="Bunntekst"/>
    <w:rsid w:val="00315863"/>
    <w:rPr>
      <w:rFonts w:ascii="Times New Roman" w:eastAsia="Times New Roman" w:hAnsi="Times New Roman" w:cs="Times New Roman"/>
      <w:sz w:val="24"/>
      <w:szCs w:val="24"/>
      <w:lang w:val="en-GB"/>
    </w:rPr>
  </w:style>
  <w:style w:type="paragraph" w:customStyle="1" w:styleId="CM4">
    <w:name w:val="CM4"/>
    <w:basedOn w:val="Normal"/>
    <w:next w:val="Normal"/>
    <w:rsid w:val="00315863"/>
    <w:pPr>
      <w:widowControl w:val="0"/>
      <w:autoSpaceDE w:val="0"/>
      <w:autoSpaceDN w:val="0"/>
      <w:adjustRightInd w:val="0"/>
    </w:pPr>
    <w:rPr>
      <w:rFonts w:ascii="IBDPE L+ Frutiger" w:hAnsi="IBDPE L+ Frutiger"/>
      <w:sz w:val="20"/>
      <w:lang w:val="en-US"/>
    </w:rPr>
  </w:style>
  <w:style w:type="paragraph" w:customStyle="1" w:styleId="Default">
    <w:name w:val="Default"/>
    <w:rsid w:val="00315863"/>
    <w:pPr>
      <w:widowControl w:val="0"/>
      <w:autoSpaceDE w:val="0"/>
      <w:autoSpaceDN w:val="0"/>
      <w:adjustRightInd w:val="0"/>
      <w:spacing w:after="0" w:line="240" w:lineRule="auto"/>
    </w:pPr>
    <w:rPr>
      <w:rFonts w:ascii="IBDPE L+ Frutiger" w:eastAsia="Times New Roman" w:hAnsi="IBDPE L+ Frutiger" w:cs="Times New Roman"/>
      <w:color w:val="000000"/>
      <w:sz w:val="24"/>
      <w:szCs w:val="24"/>
      <w:lang w:val="en-US"/>
    </w:rPr>
  </w:style>
  <w:style w:type="character" w:styleId="Hyperkobling">
    <w:name w:val="Hyperlink"/>
    <w:basedOn w:val="Standardskriftforavsnitt"/>
    <w:uiPriority w:val="99"/>
    <w:rsid w:val="00315863"/>
    <w:rPr>
      <w:color w:val="0000FF"/>
      <w:u w:val="single"/>
    </w:rPr>
  </w:style>
  <w:style w:type="paragraph" w:customStyle="1" w:styleId="Address">
    <w:name w:val="Address"/>
    <w:basedOn w:val="Normal"/>
    <w:rsid w:val="00315863"/>
    <w:pPr>
      <w:ind w:left="4536"/>
    </w:pPr>
    <w:rPr>
      <w:rFonts w:ascii="Arial" w:hAnsi="Arial" w:cs="Arial"/>
      <w:sz w:val="22"/>
      <w:szCs w:val="22"/>
    </w:rPr>
  </w:style>
  <w:style w:type="paragraph" w:customStyle="1" w:styleId="Textwithnoindent">
    <w:name w:val="Text with no indent"/>
    <w:basedOn w:val="Normal"/>
    <w:rsid w:val="00315863"/>
    <w:pPr>
      <w:spacing w:after="240" w:line="260" w:lineRule="exact"/>
      <w:jc w:val="both"/>
    </w:pPr>
    <w:rPr>
      <w:rFonts w:ascii="Arial" w:hAnsi="Arial" w:cs="Arial"/>
      <w:sz w:val="22"/>
      <w:szCs w:val="22"/>
    </w:rPr>
  </w:style>
  <w:style w:type="character" w:styleId="Sterk">
    <w:name w:val="Strong"/>
    <w:qFormat/>
    <w:rsid w:val="00315863"/>
    <w:rPr>
      <w:b/>
      <w:bCs/>
    </w:rPr>
  </w:style>
  <w:style w:type="character" w:customStyle="1" w:styleId="infoposition">
    <w:name w:val="info_position"/>
    <w:rsid w:val="00315863"/>
  </w:style>
  <w:style w:type="character" w:customStyle="1" w:styleId="infoaddress">
    <w:name w:val="info_address"/>
    <w:rsid w:val="00315863"/>
  </w:style>
  <w:style w:type="character" w:customStyle="1" w:styleId="infostate">
    <w:name w:val="info_state"/>
    <w:rsid w:val="00315863"/>
  </w:style>
  <w:style w:type="character" w:customStyle="1" w:styleId="infoemail">
    <w:name w:val="info_email"/>
    <w:rsid w:val="00315863"/>
  </w:style>
  <w:style w:type="character" w:customStyle="1" w:styleId="apple-converted-space">
    <w:name w:val="apple-converted-space"/>
    <w:rsid w:val="00315863"/>
  </w:style>
  <w:style w:type="paragraph" w:styleId="Bobletekst">
    <w:name w:val="Balloon Text"/>
    <w:basedOn w:val="Normal"/>
    <w:link w:val="BobletekstTegn"/>
    <w:uiPriority w:val="99"/>
    <w:semiHidden/>
    <w:unhideWhenUsed/>
    <w:rsid w:val="00315863"/>
    <w:rPr>
      <w:rFonts w:ascii="Tahoma" w:hAnsi="Tahoma" w:cs="Tahoma"/>
      <w:sz w:val="16"/>
      <w:szCs w:val="16"/>
    </w:rPr>
  </w:style>
  <w:style w:type="character" w:customStyle="1" w:styleId="BobletekstTegn">
    <w:name w:val="Bobletekst Tegn"/>
    <w:basedOn w:val="Standardskriftforavsnitt"/>
    <w:link w:val="Bobletekst"/>
    <w:uiPriority w:val="99"/>
    <w:semiHidden/>
    <w:rsid w:val="00315863"/>
    <w:rPr>
      <w:rFonts w:ascii="Tahoma" w:eastAsia="Times New Roman" w:hAnsi="Tahoma" w:cs="Tahoma"/>
      <w:sz w:val="16"/>
      <w:szCs w:val="16"/>
      <w:lang w:val="en-GB"/>
    </w:rPr>
  </w:style>
  <w:style w:type="paragraph" w:styleId="NormalWeb">
    <w:name w:val="Normal (Web)"/>
    <w:basedOn w:val="Normal"/>
    <w:uiPriority w:val="99"/>
    <w:unhideWhenUsed/>
    <w:rsid w:val="00315863"/>
    <w:pPr>
      <w:spacing w:before="100" w:beforeAutospacing="1" w:after="100" w:afterAutospacing="1"/>
    </w:pPr>
    <w:rPr>
      <w:lang w:eastAsia="en-GB"/>
    </w:rPr>
  </w:style>
  <w:style w:type="character" w:customStyle="1" w:styleId="hps">
    <w:name w:val="hps"/>
    <w:basedOn w:val="Standardskriftforavsnitt"/>
    <w:rsid w:val="00315863"/>
  </w:style>
  <w:style w:type="paragraph" w:styleId="Ingenmellomrom">
    <w:name w:val="No Spacing"/>
    <w:uiPriority w:val="1"/>
    <w:qFormat/>
    <w:rsid w:val="00315863"/>
    <w:pPr>
      <w:spacing w:after="0" w:line="240" w:lineRule="auto"/>
    </w:pPr>
    <w:rPr>
      <w:rFonts w:ascii="Times New Roman" w:eastAsia="Times New Roman" w:hAnsi="Times New Roman" w:cs="Times New Roman"/>
      <w:sz w:val="24"/>
      <w:szCs w:val="24"/>
      <w:lang w:val="en-GB"/>
    </w:rPr>
  </w:style>
  <w:style w:type="paragraph" w:styleId="Rentekst">
    <w:name w:val="Plain Text"/>
    <w:basedOn w:val="Normal"/>
    <w:link w:val="RentekstTegn"/>
    <w:uiPriority w:val="99"/>
    <w:unhideWhenUsed/>
    <w:rsid w:val="00FB3F7E"/>
    <w:rPr>
      <w:rFonts w:ascii="Calibri" w:eastAsiaTheme="minorHAnsi" w:hAnsi="Calibri" w:cs="Consolas"/>
      <w:sz w:val="22"/>
      <w:szCs w:val="21"/>
    </w:rPr>
  </w:style>
  <w:style w:type="character" w:customStyle="1" w:styleId="RentekstTegn">
    <w:name w:val="Ren tekst Tegn"/>
    <w:basedOn w:val="Standardskriftforavsnitt"/>
    <w:link w:val="Rentekst"/>
    <w:uiPriority w:val="99"/>
    <w:rsid w:val="00FB3F7E"/>
    <w:rPr>
      <w:rFonts w:ascii="Calibri" w:hAnsi="Calibri" w:cs="Consolas"/>
      <w:szCs w:val="21"/>
      <w:lang w:val="en-GB"/>
    </w:rPr>
  </w:style>
  <w:style w:type="table" w:styleId="Tabellrutenett">
    <w:name w:val="Table Grid"/>
    <w:basedOn w:val="Vanligtabell"/>
    <w:uiPriority w:val="59"/>
    <w:rsid w:val="0057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13F86"/>
    <w:pPr>
      <w:ind w:left="720"/>
      <w:contextualSpacing/>
    </w:pPr>
    <w:rPr>
      <w:rFonts w:asciiTheme="minorHAnsi" w:eastAsiaTheme="minorHAnsi" w:hAnsiTheme="minorHAnsi" w:cstheme="minorBidi"/>
      <w:lang w:val="nb-NO"/>
    </w:rPr>
  </w:style>
  <w:style w:type="character" w:customStyle="1" w:styleId="Overskrift2Tegn">
    <w:name w:val="Overskrift 2 Tegn"/>
    <w:basedOn w:val="Standardskriftforavsnitt"/>
    <w:link w:val="Overskrift2"/>
    <w:uiPriority w:val="9"/>
    <w:rsid w:val="001325D4"/>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161173">
      <w:bodyDiv w:val="1"/>
      <w:marLeft w:val="0"/>
      <w:marRight w:val="0"/>
      <w:marTop w:val="0"/>
      <w:marBottom w:val="0"/>
      <w:divBdr>
        <w:top w:val="none" w:sz="0" w:space="0" w:color="auto"/>
        <w:left w:val="none" w:sz="0" w:space="0" w:color="auto"/>
        <w:bottom w:val="none" w:sz="0" w:space="0" w:color="auto"/>
        <w:right w:val="none" w:sz="0" w:space="0" w:color="auto"/>
      </w:divBdr>
      <w:divsChild>
        <w:div w:id="53538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62614">
              <w:marLeft w:val="0"/>
              <w:marRight w:val="0"/>
              <w:marTop w:val="0"/>
              <w:marBottom w:val="0"/>
              <w:divBdr>
                <w:top w:val="none" w:sz="0" w:space="0" w:color="auto"/>
                <w:left w:val="none" w:sz="0" w:space="0" w:color="auto"/>
                <w:bottom w:val="none" w:sz="0" w:space="0" w:color="auto"/>
                <w:right w:val="none" w:sz="0" w:space="0" w:color="auto"/>
              </w:divBdr>
              <w:divsChild>
                <w:div w:id="16041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3D580764D5C545A7FD256EE7B0FB7C" ma:contentTypeVersion="9" ma:contentTypeDescription="Opprett et nytt dokument." ma:contentTypeScope="" ma:versionID="781677816fe021200fcd8068dc9ccd80">
  <xsd:schema xmlns:xsd="http://www.w3.org/2001/XMLSchema" xmlns:xs="http://www.w3.org/2001/XMLSchema" xmlns:p="http://schemas.microsoft.com/office/2006/metadata/properties" xmlns:ns2="944998b3-5f66-46b5-b2df-7b9369383e76" targetNamespace="http://schemas.microsoft.com/office/2006/metadata/properties" ma:root="true" ma:fieldsID="b2ab2a377b7bdfda00baacf3b8fc230c" ns2:_="">
    <xsd:import namespace="944998b3-5f66-46b5-b2df-7b9369383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98b3-5f66-46b5-b2df-7b9369383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55228-880F-491A-8B9F-DDA0F261585C}"/>
</file>

<file path=customXml/itemProps2.xml><?xml version="1.0" encoding="utf-8"?>
<ds:datastoreItem xmlns:ds="http://schemas.openxmlformats.org/officeDocument/2006/customXml" ds:itemID="{5CFC9E1B-8360-473F-AA22-A6BD21D72D6F}"/>
</file>

<file path=customXml/itemProps3.xml><?xml version="1.0" encoding="utf-8"?>
<ds:datastoreItem xmlns:ds="http://schemas.openxmlformats.org/officeDocument/2006/customXml" ds:itemID="{A15321BF-A7DA-4966-9A8C-6D19CD91A3ED}"/>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3520</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YS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Frode Sandberg</dc:creator>
  <cp:lastModifiedBy>Marius Træland</cp:lastModifiedBy>
  <cp:revision>2</cp:revision>
  <dcterms:created xsi:type="dcterms:W3CDTF">2019-10-02T10:25:00Z</dcterms:created>
  <dcterms:modified xsi:type="dcterms:W3CDTF">2019-10-02T10:25:00Z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0x010100513D580764D5C545A7FD256EE7B0FB7C</vt:lpwstr>
  </property>
</Properties>
</file>